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51822" w14:textId="1222B040" w:rsidR="00E97F80" w:rsidRPr="006F598A" w:rsidRDefault="006F598A">
      <w:pPr>
        <w:rPr>
          <w:rFonts w:ascii="Times New Roman" w:hAnsi="Times New Roman" w:cs="Times New Roman"/>
        </w:rPr>
      </w:pPr>
      <w:r w:rsidRPr="006F598A">
        <w:rPr>
          <w:rFonts w:ascii="Times New Roman" w:hAnsi="Times New Roman" w:cs="Times New Roman"/>
        </w:rPr>
        <w:t>J.L. Marion: LA REDUNDANCIA DEL DON</w:t>
      </w:r>
    </w:p>
    <w:p w14:paraId="57D04178" w14:textId="6B6C779A" w:rsidR="006F598A" w:rsidRDefault="006F598A"/>
    <w:p w14:paraId="3B353513" w14:textId="4D1D056F" w:rsidR="006F598A" w:rsidRDefault="006F598A" w:rsidP="006F598A">
      <w:pPr>
        <w:spacing w:before="240" w:after="80" w:line="360" w:lineRule="auto"/>
        <w:ind w:left="340" w:right="340" w:firstLine="709"/>
        <w:jc w:val="both"/>
        <w:rPr>
          <w:rFonts w:ascii="Times New Roman" w:hAnsi="Times New Roman" w:cs="Times New Roman"/>
        </w:rPr>
      </w:pPr>
      <w:r w:rsidRPr="006F598A">
        <w:rPr>
          <w:rFonts w:ascii="Times New Roman" w:hAnsi="Times New Roman" w:cs="Times New Roman"/>
        </w:rPr>
        <w:t>“E</w:t>
      </w:r>
      <w:r>
        <w:rPr>
          <w:rFonts w:ascii="Times New Roman" w:hAnsi="Times New Roman" w:cs="Times New Roman"/>
        </w:rPr>
        <w:t>l don solo se recibe para ser incondicionalmente dado. El beneficiario no prosigue la circulación del don por simple altruismo, como si el compartirlo con otros le pareciera decente. La razón por la cual el beneficiario debe asegurar lo que denominamos la redundancia del don, volviendo a ponerlo en circulación tan pronto como lo recibe, es bien diferente: el don solo puede recibirse dándose, de lo contrario dejaría de merecer su nombre. Así pues, el hombre solo recibe el don como tal acogiendo el acto de dar, es decir, dando él mismo por repetición. Recibir el don y darlo se confunden en una misma operación única: la redundancia. Solamente el don del don puede recibir el don, sin apropiárselo ni destruirlo en simple posesión”</w:t>
      </w:r>
      <w:r w:rsidR="00BF797C">
        <w:rPr>
          <w:rFonts w:ascii="Times New Roman" w:hAnsi="Times New Roman" w:cs="Times New Roman"/>
        </w:rPr>
        <w:t xml:space="preserve"> (</w:t>
      </w:r>
      <w:r w:rsidR="007D7FB7">
        <w:rPr>
          <w:rFonts w:ascii="Times New Roman" w:hAnsi="Times New Roman" w:cs="Times New Roman"/>
        </w:rPr>
        <w:t xml:space="preserve">Marion, J-L., </w:t>
      </w:r>
      <w:r w:rsidR="007D7FB7" w:rsidRPr="00FD10F0">
        <w:rPr>
          <w:rFonts w:ascii="Times New Roman" w:hAnsi="Times New Roman" w:cs="Times New Roman"/>
          <w:i/>
          <w:iCs/>
        </w:rPr>
        <w:t>El ídolo y la distancia</w:t>
      </w:r>
      <w:r w:rsidR="007D7FB7">
        <w:rPr>
          <w:rFonts w:ascii="Times New Roman" w:hAnsi="Times New Roman" w:cs="Times New Roman"/>
        </w:rPr>
        <w:t xml:space="preserve">, Sígueme, Salamanca, 1999, </w:t>
      </w:r>
      <w:r w:rsidR="00FD10F0">
        <w:rPr>
          <w:rFonts w:ascii="Times New Roman" w:hAnsi="Times New Roman" w:cs="Times New Roman"/>
        </w:rPr>
        <w:t>161-162</w:t>
      </w:r>
      <w:r w:rsidR="007D7FB7">
        <w:rPr>
          <w:rFonts w:ascii="Times New Roman" w:hAnsi="Times New Roman" w:cs="Times New Roman"/>
        </w:rPr>
        <w:t>).</w:t>
      </w:r>
    </w:p>
    <w:p w14:paraId="12AF92D4" w14:textId="512FE87A" w:rsidR="007D7FB7" w:rsidRDefault="007D7FB7" w:rsidP="007D7FB7">
      <w:pPr>
        <w:pStyle w:val="Prrafodelista"/>
        <w:numPr>
          <w:ilvl w:val="0"/>
          <w:numId w:val="1"/>
        </w:numPr>
        <w:spacing w:before="240" w:after="80" w:line="360" w:lineRule="auto"/>
        <w:ind w:right="340"/>
        <w:jc w:val="both"/>
        <w:rPr>
          <w:rFonts w:ascii="Times New Roman" w:hAnsi="Times New Roman" w:cs="Times New Roman"/>
        </w:rPr>
      </w:pPr>
      <w:r>
        <w:rPr>
          <w:rFonts w:ascii="Times New Roman" w:hAnsi="Times New Roman" w:cs="Times New Roman"/>
        </w:rPr>
        <w:t>¿Cabe un don al margen de la donación, según el autor?</w:t>
      </w:r>
    </w:p>
    <w:p w14:paraId="35F67660" w14:textId="43DB0473" w:rsidR="007D7FB7" w:rsidRDefault="007D7FB7" w:rsidP="007D7FB7">
      <w:pPr>
        <w:pStyle w:val="Prrafodelista"/>
        <w:numPr>
          <w:ilvl w:val="0"/>
          <w:numId w:val="1"/>
        </w:numPr>
        <w:spacing w:before="240" w:after="80" w:line="360" w:lineRule="auto"/>
        <w:ind w:right="340"/>
        <w:jc w:val="both"/>
        <w:rPr>
          <w:rFonts w:ascii="Times New Roman" w:hAnsi="Times New Roman" w:cs="Times New Roman"/>
        </w:rPr>
      </w:pPr>
      <w:r>
        <w:rPr>
          <w:rFonts w:ascii="Times New Roman" w:hAnsi="Times New Roman" w:cs="Times New Roman"/>
        </w:rPr>
        <w:t xml:space="preserve">¿De dónde proceden la </w:t>
      </w:r>
      <w:proofErr w:type="spellStart"/>
      <w:r>
        <w:rPr>
          <w:rFonts w:ascii="Times New Roman" w:hAnsi="Times New Roman" w:cs="Times New Roman"/>
        </w:rPr>
        <w:t>irrepetibilidad</w:t>
      </w:r>
      <w:proofErr w:type="spellEnd"/>
      <w:r>
        <w:rPr>
          <w:rFonts w:ascii="Times New Roman" w:hAnsi="Times New Roman" w:cs="Times New Roman"/>
        </w:rPr>
        <w:t xml:space="preserve"> y acontecer del don?</w:t>
      </w:r>
    </w:p>
    <w:p w14:paraId="4446850C" w14:textId="606AEBF5" w:rsidR="007D7FB7" w:rsidRDefault="007D7FB7" w:rsidP="007D7FB7">
      <w:pPr>
        <w:pStyle w:val="Prrafodelista"/>
        <w:spacing w:before="240" w:after="80" w:line="360" w:lineRule="auto"/>
        <w:ind w:left="1409" w:right="340"/>
        <w:jc w:val="both"/>
        <w:rPr>
          <w:rFonts w:ascii="Times New Roman" w:hAnsi="Times New Roman" w:cs="Times New Roman"/>
        </w:rPr>
      </w:pPr>
    </w:p>
    <w:p w14:paraId="00EB049A" w14:textId="1AEE7FAC" w:rsidR="007D7FB7" w:rsidRDefault="007D7FB7" w:rsidP="007D7FB7">
      <w:pPr>
        <w:pStyle w:val="Prrafodelista"/>
        <w:spacing w:before="240" w:after="80" w:line="360" w:lineRule="auto"/>
        <w:ind w:left="1409" w:right="340"/>
        <w:jc w:val="both"/>
        <w:rPr>
          <w:rFonts w:ascii="Times New Roman" w:hAnsi="Times New Roman" w:cs="Times New Roman"/>
        </w:rPr>
      </w:pPr>
      <w:r>
        <w:rPr>
          <w:rFonts w:ascii="Times New Roman" w:hAnsi="Times New Roman" w:cs="Times New Roman"/>
        </w:rPr>
        <w:t xml:space="preserve">E. </w:t>
      </w:r>
      <w:proofErr w:type="spellStart"/>
      <w:r>
        <w:rPr>
          <w:rFonts w:ascii="Times New Roman" w:hAnsi="Times New Roman" w:cs="Times New Roman"/>
        </w:rPr>
        <w:t>L</w:t>
      </w:r>
      <w:r w:rsidR="00EA2C1E">
        <w:rPr>
          <w:rFonts w:ascii="Times New Roman" w:hAnsi="Times New Roman" w:cs="Times New Roman"/>
        </w:rPr>
        <w:t>evinas</w:t>
      </w:r>
      <w:proofErr w:type="spellEnd"/>
      <w:r>
        <w:rPr>
          <w:rFonts w:ascii="Times New Roman" w:hAnsi="Times New Roman" w:cs="Times New Roman"/>
        </w:rPr>
        <w:t>: EL OTRO EN LA DISTANCIA</w:t>
      </w:r>
    </w:p>
    <w:p w14:paraId="2D727985" w14:textId="77777777" w:rsidR="007D7FB7" w:rsidRDefault="007D7FB7" w:rsidP="007D7FB7">
      <w:pPr>
        <w:pStyle w:val="Prrafodelista"/>
        <w:spacing w:before="240" w:after="80" w:line="360" w:lineRule="auto"/>
        <w:ind w:left="1409" w:right="340"/>
        <w:jc w:val="both"/>
        <w:rPr>
          <w:rFonts w:ascii="Times New Roman" w:hAnsi="Times New Roman" w:cs="Times New Roman"/>
        </w:rPr>
      </w:pPr>
    </w:p>
    <w:p w14:paraId="4CCD4040" w14:textId="6D664FC9" w:rsidR="007D7FB7" w:rsidRDefault="007D7FB7" w:rsidP="007D7FB7">
      <w:pPr>
        <w:pStyle w:val="Prrafodelista"/>
        <w:spacing w:before="240" w:after="80" w:line="360" w:lineRule="auto"/>
        <w:ind w:left="340" w:right="340" w:firstLine="709"/>
        <w:jc w:val="both"/>
        <w:rPr>
          <w:rFonts w:ascii="Times New Roman" w:hAnsi="Times New Roman" w:cs="Times New Roman"/>
        </w:rPr>
      </w:pPr>
      <w:r>
        <w:rPr>
          <w:rFonts w:ascii="Times New Roman" w:hAnsi="Times New Roman" w:cs="Times New Roman"/>
        </w:rPr>
        <w:t>“El otro no es otro con alteridad relativa como, en una comparación, las especies, aunque sean últimas, se excluyen recíprocamente, pero se sitúan en la comunidad de un género; se excluyen por definición, pero se acercan recíprocamente por esta exclusión a través de la comunidad de un género. La alteridad del otro no depende de una cualidad que lo excluye del yo, porque una distinción de esa naturaleza</w:t>
      </w:r>
      <w:r w:rsidR="00FD10F0">
        <w:rPr>
          <w:rFonts w:ascii="Times New Roman" w:hAnsi="Times New Roman" w:cs="Times New Roman"/>
        </w:rPr>
        <w:t xml:space="preserve"> implicaría entre nosotros esa comunidad de género que anula la alteridad… La diferencia absoluta, inconcebible en términos de lógica formal, solo se instaura por el lenguaje. El lenguaje lleva a cabo una relación entre los términos que rompe la unidad de un género. Los términos, los interlocutores se absuelven de la relación o siguen siendo absolutos en la relación” (E. </w:t>
      </w:r>
      <w:proofErr w:type="spellStart"/>
      <w:r w:rsidR="00FD10F0">
        <w:rPr>
          <w:rFonts w:ascii="Times New Roman" w:hAnsi="Times New Roman" w:cs="Times New Roman"/>
        </w:rPr>
        <w:t>Levinas</w:t>
      </w:r>
      <w:proofErr w:type="spellEnd"/>
      <w:r w:rsidR="00FD10F0">
        <w:rPr>
          <w:rFonts w:ascii="Times New Roman" w:hAnsi="Times New Roman" w:cs="Times New Roman"/>
        </w:rPr>
        <w:t xml:space="preserve">, </w:t>
      </w:r>
      <w:r w:rsidR="00FD10F0" w:rsidRPr="00FD10F0">
        <w:rPr>
          <w:rFonts w:ascii="Times New Roman" w:hAnsi="Times New Roman" w:cs="Times New Roman"/>
          <w:i/>
          <w:iCs/>
        </w:rPr>
        <w:t>Totalidad e infinito</w:t>
      </w:r>
      <w:r w:rsidR="00FD10F0">
        <w:rPr>
          <w:rFonts w:ascii="Times New Roman" w:hAnsi="Times New Roman" w:cs="Times New Roman"/>
        </w:rPr>
        <w:t>, Sígueme, Salamanca, 1987, 207-208).</w:t>
      </w:r>
    </w:p>
    <w:p w14:paraId="090FB168" w14:textId="3A159F19" w:rsidR="00FD10F0" w:rsidRDefault="00FD10F0" w:rsidP="007D7FB7">
      <w:pPr>
        <w:pStyle w:val="Prrafodelista"/>
        <w:spacing w:before="240" w:after="80" w:line="360" w:lineRule="auto"/>
        <w:ind w:left="340" w:right="340" w:firstLine="709"/>
        <w:jc w:val="both"/>
        <w:rPr>
          <w:rFonts w:ascii="Times New Roman" w:hAnsi="Times New Roman" w:cs="Times New Roman"/>
        </w:rPr>
      </w:pPr>
    </w:p>
    <w:p w14:paraId="6A856463" w14:textId="2B3EE954" w:rsidR="00FD10F0" w:rsidRDefault="00FD10F0" w:rsidP="00FD10F0">
      <w:pPr>
        <w:pStyle w:val="Prrafodelista"/>
        <w:numPr>
          <w:ilvl w:val="0"/>
          <w:numId w:val="2"/>
        </w:numPr>
        <w:spacing w:before="240" w:after="80" w:line="360" w:lineRule="auto"/>
        <w:ind w:right="340"/>
        <w:jc w:val="both"/>
        <w:rPr>
          <w:rFonts w:ascii="Times New Roman" w:hAnsi="Times New Roman" w:cs="Times New Roman"/>
        </w:rPr>
      </w:pPr>
      <w:r>
        <w:rPr>
          <w:rFonts w:ascii="Times New Roman" w:hAnsi="Times New Roman" w:cs="Times New Roman"/>
        </w:rPr>
        <w:t>¿Se puede formar una totalidad entre los términos absolutos de la relación interhumana?</w:t>
      </w:r>
    </w:p>
    <w:p w14:paraId="278A004D" w14:textId="4AA49ED5" w:rsidR="00FD10F0" w:rsidRDefault="00FD10F0" w:rsidP="00FD10F0">
      <w:pPr>
        <w:pStyle w:val="Prrafodelista"/>
        <w:numPr>
          <w:ilvl w:val="0"/>
          <w:numId w:val="2"/>
        </w:numPr>
        <w:spacing w:before="240" w:after="80" w:line="360" w:lineRule="auto"/>
        <w:ind w:right="340"/>
        <w:jc w:val="both"/>
        <w:rPr>
          <w:rFonts w:ascii="Times New Roman" w:hAnsi="Times New Roman" w:cs="Times New Roman"/>
        </w:rPr>
      </w:pPr>
      <w:r>
        <w:rPr>
          <w:rFonts w:ascii="Times New Roman" w:hAnsi="Times New Roman" w:cs="Times New Roman"/>
        </w:rPr>
        <w:lastRenderedPageBreak/>
        <w:t>¿Por qué el lenguaje, y no la lógica, salva el carácter absoluto de los hablantes?</w:t>
      </w:r>
    </w:p>
    <w:p w14:paraId="286E37CF" w14:textId="222E5A5B" w:rsidR="00EA2C1E" w:rsidRPr="00EA2C1E" w:rsidRDefault="00EA2C1E" w:rsidP="00EA2C1E">
      <w:pPr>
        <w:spacing w:before="240" w:after="80" w:line="360" w:lineRule="auto"/>
        <w:ind w:right="340"/>
        <w:jc w:val="both"/>
        <w:rPr>
          <w:rFonts w:ascii="Times New Roman" w:hAnsi="Times New Roman" w:cs="Times New Roman"/>
        </w:rPr>
      </w:pPr>
      <w:r>
        <w:rPr>
          <w:rFonts w:ascii="Times New Roman" w:hAnsi="Times New Roman" w:cs="Times New Roman"/>
        </w:rPr>
        <w:t>M. Henry: LO DADO PREINTENCIONALMENTE</w:t>
      </w:r>
    </w:p>
    <w:p w14:paraId="24B6B116" w14:textId="4F5CAE34" w:rsidR="00053E32" w:rsidRDefault="00EA2C1E" w:rsidP="00EA2C1E">
      <w:pPr>
        <w:spacing w:before="240" w:after="80" w:line="360" w:lineRule="auto"/>
        <w:ind w:left="340" w:right="340" w:firstLine="709"/>
        <w:jc w:val="both"/>
        <w:rPr>
          <w:rFonts w:ascii="Times New Roman" w:hAnsi="Times New Roman" w:cs="Times New Roman"/>
        </w:rPr>
      </w:pPr>
      <w:r>
        <w:rPr>
          <w:rFonts w:ascii="Times New Roman" w:hAnsi="Times New Roman" w:cs="Times New Roman"/>
        </w:rPr>
        <w:t xml:space="preserve">“El aparecer que consiste en la intencionalidad tiene necesidad de algo distinto a la exterioridad irreal que despliega, tiene necesidad de un contenido, de una materia, con la que se combina. Esta materia, este contenido no es cualquier cosa, un no importa qué. Lleva consigo un rasgo esencial: es lo no intencional y a una con ello lo </w:t>
      </w:r>
      <w:proofErr w:type="spellStart"/>
      <w:r>
        <w:rPr>
          <w:rFonts w:ascii="Times New Roman" w:hAnsi="Times New Roman" w:cs="Times New Roman"/>
        </w:rPr>
        <w:t>impresional</w:t>
      </w:r>
      <w:proofErr w:type="spellEnd"/>
      <w:r>
        <w:rPr>
          <w:rFonts w:ascii="Times New Roman" w:hAnsi="Times New Roman" w:cs="Times New Roman"/>
        </w:rPr>
        <w:t xml:space="preserve">, lo afectivo” (M. Henry, </w:t>
      </w:r>
      <w:proofErr w:type="spellStart"/>
      <w:r>
        <w:rPr>
          <w:rFonts w:ascii="Times New Roman" w:hAnsi="Times New Roman" w:cs="Times New Roman"/>
        </w:rPr>
        <w:t>Phénomenologie</w:t>
      </w:r>
      <w:proofErr w:type="spellEnd"/>
      <w:r>
        <w:rPr>
          <w:rFonts w:ascii="Times New Roman" w:hAnsi="Times New Roman" w:cs="Times New Roman"/>
        </w:rPr>
        <w:t xml:space="preserve"> </w:t>
      </w:r>
      <w:proofErr w:type="spellStart"/>
      <w:r>
        <w:rPr>
          <w:rFonts w:ascii="Times New Roman" w:hAnsi="Times New Roman" w:cs="Times New Roman"/>
        </w:rPr>
        <w:t>materielle</w:t>
      </w:r>
      <w:proofErr w:type="spellEnd"/>
      <w:r>
        <w:rPr>
          <w:rFonts w:ascii="Times New Roman" w:hAnsi="Times New Roman" w:cs="Times New Roman"/>
        </w:rPr>
        <w:t>, PUF, Paris, 1990, 25).</w:t>
      </w:r>
    </w:p>
    <w:p w14:paraId="3193E3CC" w14:textId="6B2A97C0" w:rsidR="00EA2C1E" w:rsidRDefault="00EA2C1E" w:rsidP="00EA2C1E">
      <w:pPr>
        <w:pStyle w:val="Prrafodelista"/>
        <w:numPr>
          <w:ilvl w:val="0"/>
          <w:numId w:val="3"/>
        </w:numPr>
        <w:spacing w:before="240" w:after="80" w:line="360" w:lineRule="auto"/>
        <w:ind w:right="340"/>
        <w:jc w:val="both"/>
        <w:rPr>
          <w:rFonts w:ascii="Times New Roman" w:hAnsi="Times New Roman" w:cs="Times New Roman"/>
        </w:rPr>
      </w:pPr>
      <w:r>
        <w:rPr>
          <w:rFonts w:ascii="Times New Roman" w:hAnsi="Times New Roman" w:cs="Times New Roman"/>
        </w:rPr>
        <w:t xml:space="preserve">¿En qué consiste lo material </w:t>
      </w:r>
      <w:r w:rsidR="0084467D">
        <w:rPr>
          <w:rFonts w:ascii="Times New Roman" w:hAnsi="Times New Roman" w:cs="Times New Roman"/>
        </w:rPr>
        <w:t xml:space="preserve">previo a la </w:t>
      </w:r>
      <w:r>
        <w:rPr>
          <w:rFonts w:ascii="Times New Roman" w:hAnsi="Times New Roman" w:cs="Times New Roman"/>
        </w:rPr>
        <w:t>intencional</w:t>
      </w:r>
      <w:r w:rsidR="0084467D">
        <w:rPr>
          <w:rFonts w:ascii="Times New Roman" w:hAnsi="Times New Roman" w:cs="Times New Roman"/>
        </w:rPr>
        <w:t>idad</w:t>
      </w:r>
      <w:r>
        <w:rPr>
          <w:rFonts w:ascii="Times New Roman" w:hAnsi="Times New Roman" w:cs="Times New Roman"/>
        </w:rPr>
        <w:t>?</w:t>
      </w:r>
    </w:p>
    <w:p w14:paraId="1A2128A9" w14:textId="1E90E31F" w:rsidR="00EA2C1E" w:rsidRPr="00EA2C1E" w:rsidRDefault="00EA2C1E" w:rsidP="00EA2C1E">
      <w:pPr>
        <w:pStyle w:val="Prrafodelista"/>
        <w:numPr>
          <w:ilvl w:val="0"/>
          <w:numId w:val="3"/>
        </w:numPr>
        <w:spacing w:before="240" w:after="80" w:line="360" w:lineRule="auto"/>
        <w:ind w:right="340"/>
        <w:jc w:val="both"/>
        <w:rPr>
          <w:rFonts w:ascii="Times New Roman" w:hAnsi="Times New Roman" w:cs="Times New Roman"/>
        </w:rPr>
      </w:pPr>
      <w:r>
        <w:rPr>
          <w:rFonts w:ascii="Times New Roman" w:hAnsi="Times New Roman" w:cs="Times New Roman"/>
        </w:rPr>
        <w:t xml:space="preserve">¿En qué </w:t>
      </w:r>
      <w:r w:rsidR="0084467D">
        <w:rPr>
          <w:rFonts w:ascii="Times New Roman" w:hAnsi="Times New Roman" w:cs="Times New Roman"/>
        </w:rPr>
        <w:t>sentido es la vida un darse</w:t>
      </w:r>
      <w:r>
        <w:rPr>
          <w:rFonts w:ascii="Times New Roman" w:hAnsi="Times New Roman" w:cs="Times New Roman"/>
        </w:rPr>
        <w:t>?</w:t>
      </w:r>
    </w:p>
    <w:p w14:paraId="2A145745" w14:textId="7427FC65" w:rsidR="006F598A" w:rsidRPr="006F598A" w:rsidRDefault="006F598A" w:rsidP="00FD10F0">
      <w:pPr>
        <w:spacing w:before="240" w:after="80" w:line="360" w:lineRule="auto"/>
        <w:ind w:right="340"/>
        <w:rPr>
          <w:rFonts w:ascii="Times New Roman" w:hAnsi="Times New Roman" w:cs="Times New Roman"/>
        </w:rPr>
      </w:pPr>
    </w:p>
    <w:sectPr w:rsidR="006F598A" w:rsidRPr="006F59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93B85"/>
    <w:multiLevelType w:val="hybridMultilevel"/>
    <w:tmpl w:val="120253F2"/>
    <w:lvl w:ilvl="0" w:tplc="9020C8E2">
      <w:start w:val="1"/>
      <w:numFmt w:val="decimal"/>
      <w:lvlText w:val="%1)"/>
      <w:lvlJc w:val="left"/>
      <w:pPr>
        <w:ind w:left="1409" w:hanging="360"/>
      </w:pPr>
      <w:rPr>
        <w:rFonts w:hint="default"/>
      </w:rPr>
    </w:lvl>
    <w:lvl w:ilvl="1" w:tplc="040A0019" w:tentative="1">
      <w:start w:val="1"/>
      <w:numFmt w:val="lowerLetter"/>
      <w:lvlText w:val="%2."/>
      <w:lvlJc w:val="left"/>
      <w:pPr>
        <w:ind w:left="2129" w:hanging="360"/>
      </w:pPr>
    </w:lvl>
    <w:lvl w:ilvl="2" w:tplc="040A001B" w:tentative="1">
      <w:start w:val="1"/>
      <w:numFmt w:val="lowerRoman"/>
      <w:lvlText w:val="%3."/>
      <w:lvlJc w:val="right"/>
      <w:pPr>
        <w:ind w:left="2849" w:hanging="180"/>
      </w:pPr>
    </w:lvl>
    <w:lvl w:ilvl="3" w:tplc="040A000F" w:tentative="1">
      <w:start w:val="1"/>
      <w:numFmt w:val="decimal"/>
      <w:lvlText w:val="%4."/>
      <w:lvlJc w:val="left"/>
      <w:pPr>
        <w:ind w:left="3569" w:hanging="360"/>
      </w:pPr>
    </w:lvl>
    <w:lvl w:ilvl="4" w:tplc="040A0019" w:tentative="1">
      <w:start w:val="1"/>
      <w:numFmt w:val="lowerLetter"/>
      <w:lvlText w:val="%5."/>
      <w:lvlJc w:val="left"/>
      <w:pPr>
        <w:ind w:left="4289" w:hanging="360"/>
      </w:pPr>
    </w:lvl>
    <w:lvl w:ilvl="5" w:tplc="040A001B" w:tentative="1">
      <w:start w:val="1"/>
      <w:numFmt w:val="lowerRoman"/>
      <w:lvlText w:val="%6."/>
      <w:lvlJc w:val="right"/>
      <w:pPr>
        <w:ind w:left="5009" w:hanging="180"/>
      </w:pPr>
    </w:lvl>
    <w:lvl w:ilvl="6" w:tplc="040A000F" w:tentative="1">
      <w:start w:val="1"/>
      <w:numFmt w:val="decimal"/>
      <w:lvlText w:val="%7."/>
      <w:lvlJc w:val="left"/>
      <w:pPr>
        <w:ind w:left="5729" w:hanging="360"/>
      </w:pPr>
    </w:lvl>
    <w:lvl w:ilvl="7" w:tplc="040A0019" w:tentative="1">
      <w:start w:val="1"/>
      <w:numFmt w:val="lowerLetter"/>
      <w:lvlText w:val="%8."/>
      <w:lvlJc w:val="left"/>
      <w:pPr>
        <w:ind w:left="6449" w:hanging="360"/>
      </w:pPr>
    </w:lvl>
    <w:lvl w:ilvl="8" w:tplc="040A001B" w:tentative="1">
      <w:start w:val="1"/>
      <w:numFmt w:val="lowerRoman"/>
      <w:lvlText w:val="%9."/>
      <w:lvlJc w:val="right"/>
      <w:pPr>
        <w:ind w:left="7169" w:hanging="180"/>
      </w:pPr>
    </w:lvl>
  </w:abstractNum>
  <w:abstractNum w:abstractNumId="1" w15:restartNumberingAfterBreak="0">
    <w:nsid w:val="38AD0162"/>
    <w:multiLevelType w:val="hybridMultilevel"/>
    <w:tmpl w:val="126E4A44"/>
    <w:lvl w:ilvl="0" w:tplc="6F267384">
      <w:start w:val="1"/>
      <w:numFmt w:val="decimal"/>
      <w:lvlText w:val="%1)"/>
      <w:lvlJc w:val="left"/>
      <w:pPr>
        <w:ind w:left="1409" w:hanging="360"/>
      </w:pPr>
      <w:rPr>
        <w:rFonts w:hint="default"/>
      </w:rPr>
    </w:lvl>
    <w:lvl w:ilvl="1" w:tplc="040A0019" w:tentative="1">
      <w:start w:val="1"/>
      <w:numFmt w:val="lowerLetter"/>
      <w:lvlText w:val="%2."/>
      <w:lvlJc w:val="left"/>
      <w:pPr>
        <w:ind w:left="2129" w:hanging="360"/>
      </w:pPr>
    </w:lvl>
    <w:lvl w:ilvl="2" w:tplc="040A001B" w:tentative="1">
      <w:start w:val="1"/>
      <w:numFmt w:val="lowerRoman"/>
      <w:lvlText w:val="%3."/>
      <w:lvlJc w:val="right"/>
      <w:pPr>
        <w:ind w:left="2849" w:hanging="180"/>
      </w:pPr>
    </w:lvl>
    <w:lvl w:ilvl="3" w:tplc="040A000F" w:tentative="1">
      <w:start w:val="1"/>
      <w:numFmt w:val="decimal"/>
      <w:lvlText w:val="%4."/>
      <w:lvlJc w:val="left"/>
      <w:pPr>
        <w:ind w:left="3569" w:hanging="360"/>
      </w:pPr>
    </w:lvl>
    <w:lvl w:ilvl="4" w:tplc="040A0019" w:tentative="1">
      <w:start w:val="1"/>
      <w:numFmt w:val="lowerLetter"/>
      <w:lvlText w:val="%5."/>
      <w:lvlJc w:val="left"/>
      <w:pPr>
        <w:ind w:left="4289" w:hanging="360"/>
      </w:pPr>
    </w:lvl>
    <w:lvl w:ilvl="5" w:tplc="040A001B" w:tentative="1">
      <w:start w:val="1"/>
      <w:numFmt w:val="lowerRoman"/>
      <w:lvlText w:val="%6."/>
      <w:lvlJc w:val="right"/>
      <w:pPr>
        <w:ind w:left="5009" w:hanging="180"/>
      </w:pPr>
    </w:lvl>
    <w:lvl w:ilvl="6" w:tplc="040A000F" w:tentative="1">
      <w:start w:val="1"/>
      <w:numFmt w:val="decimal"/>
      <w:lvlText w:val="%7."/>
      <w:lvlJc w:val="left"/>
      <w:pPr>
        <w:ind w:left="5729" w:hanging="360"/>
      </w:pPr>
    </w:lvl>
    <w:lvl w:ilvl="7" w:tplc="040A0019" w:tentative="1">
      <w:start w:val="1"/>
      <w:numFmt w:val="lowerLetter"/>
      <w:lvlText w:val="%8."/>
      <w:lvlJc w:val="left"/>
      <w:pPr>
        <w:ind w:left="6449" w:hanging="360"/>
      </w:pPr>
    </w:lvl>
    <w:lvl w:ilvl="8" w:tplc="040A001B" w:tentative="1">
      <w:start w:val="1"/>
      <w:numFmt w:val="lowerRoman"/>
      <w:lvlText w:val="%9."/>
      <w:lvlJc w:val="right"/>
      <w:pPr>
        <w:ind w:left="7169" w:hanging="180"/>
      </w:pPr>
    </w:lvl>
  </w:abstractNum>
  <w:abstractNum w:abstractNumId="2" w15:restartNumberingAfterBreak="0">
    <w:nsid w:val="39094C27"/>
    <w:multiLevelType w:val="hybridMultilevel"/>
    <w:tmpl w:val="6F2EC2FC"/>
    <w:lvl w:ilvl="0" w:tplc="99C6C462">
      <w:start w:val="1"/>
      <w:numFmt w:val="decimal"/>
      <w:lvlText w:val="%1)"/>
      <w:lvlJc w:val="left"/>
      <w:pPr>
        <w:ind w:left="1409" w:hanging="360"/>
      </w:pPr>
      <w:rPr>
        <w:rFonts w:hint="default"/>
      </w:rPr>
    </w:lvl>
    <w:lvl w:ilvl="1" w:tplc="040A0019" w:tentative="1">
      <w:start w:val="1"/>
      <w:numFmt w:val="lowerLetter"/>
      <w:lvlText w:val="%2."/>
      <w:lvlJc w:val="left"/>
      <w:pPr>
        <w:ind w:left="2129" w:hanging="360"/>
      </w:pPr>
    </w:lvl>
    <w:lvl w:ilvl="2" w:tplc="040A001B" w:tentative="1">
      <w:start w:val="1"/>
      <w:numFmt w:val="lowerRoman"/>
      <w:lvlText w:val="%3."/>
      <w:lvlJc w:val="right"/>
      <w:pPr>
        <w:ind w:left="2849" w:hanging="180"/>
      </w:pPr>
    </w:lvl>
    <w:lvl w:ilvl="3" w:tplc="040A000F" w:tentative="1">
      <w:start w:val="1"/>
      <w:numFmt w:val="decimal"/>
      <w:lvlText w:val="%4."/>
      <w:lvlJc w:val="left"/>
      <w:pPr>
        <w:ind w:left="3569" w:hanging="360"/>
      </w:pPr>
    </w:lvl>
    <w:lvl w:ilvl="4" w:tplc="040A0019" w:tentative="1">
      <w:start w:val="1"/>
      <w:numFmt w:val="lowerLetter"/>
      <w:lvlText w:val="%5."/>
      <w:lvlJc w:val="left"/>
      <w:pPr>
        <w:ind w:left="4289" w:hanging="360"/>
      </w:pPr>
    </w:lvl>
    <w:lvl w:ilvl="5" w:tplc="040A001B" w:tentative="1">
      <w:start w:val="1"/>
      <w:numFmt w:val="lowerRoman"/>
      <w:lvlText w:val="%6."/>
      <w:lvlJc w:val="right"/>
      <w:pPr>
        <w:ind w:left="5009" w:hanging="180"/>
      </w:pPr>
    </w:lvl>
    <w:lvl w:ilvl="6" w:tplc="040A000F" w:tentative="1">
      <w:start w:val="1"/>
      <w:numFmt w:val="decimal"/>
      <w:lvlText w:val="%7."/>
      <w:lvlJc w:val="left"/>
      <w:pPr>
        <w:ind w:left="5729" w:hanging="360"/>
      </w:pPr>
    </w:lvl>
    <w:lvl w:ilvl="7" w:tplc="040A0019" w:tentative="1">
      <w:start w:val="1"/>
      <w:numFmt w:val="lowerLetter"/>
      <w:lvlText w:val="%8."/>
      <w:lvlJc w:val="left"/>
      <w:pPr>
        <w:ind w:left="6449" w:hanging="360"/>
      </w:pPr>
    </w:lvl>
    <w:lvl w:ilvl="8" w:tplc="040A001B" w:tentative="1">
      <w:start w:val="1"/>
      <w:numFmt w:val="lowerRoman"/>
      <w:lvlText w:val="%9."/>
      <w:lvlJc w:val="right"/>
      <w:pPr>
        <w:ind w:left="7169" w:hanging="180"/>
      </w:pPr>
    </w:lvl>
  </w:abstractNum>
  <w:num w:numId="1" w16cid:durableId="996610017">
    <w:abstractNumId w:val="2"/>
  </w:num>
  <w:num w:numId="2" w16cid:durableId="1689866089">
    <w:abstractNumId w:val="0"/>
  </w:num>
  <w:num w:numId="3" w16cid:durableId="1703896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C4"/>
    <w:rsid w:val="00053E32"/>
    <w:rsid w:val="005208C4"/>
    <w:rsid w:val="006F598A"/>
    <w:rsid w:val="007D7FB7"/>
    <w:rsid w:val="0084467D"/>
    <w:rsid w:val="00AC3031"/>
    <w:rsid w:val="00BF797C"/>
    <w:rsid w:val="00D82841"/>
    <w:rsid w:val="00DD271F"/>
    <w:rsid w:val="00E97F80"/>
    <w:rsid w:val="00EA2C1E"/>
    <w:rsid w:val="00FD10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F0CDA40"/>
  <w15:chartTrackingRefBased/>
  <w15:docId w15:val="{F085E964-0AC2-1848-8F27-28112A78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7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396</Words>
  <Characters>2183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Urbano Ferrer</dc:creator>
  <cp:keywords/>
  <dc:description/>
  <cp:lastModifiedBy>Urbano Ferrer</cp:lastModifiedBy>
  <cp:revision>4</cp:revision>
  <dcterms:created xsi:type="dcterms:W3CDTF">2022-11-10T11:05:00Z</dcterms:created>
  <dcterms:modified xsi:type="dcterms:W3CDTF">2022-11-10T15:54:00Z</dcterms:modified>
</cp:coreProperties>
</file>